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nota-interna-encerramento-do-caso"/>
    <w:p>
      <w:pPr>
        <w:pStyle w:val="Heading2"/>
      </w:pPr>
      <w:r>
        <w:t xml:space="preserve">Nota Interna – Encerramento do Caso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1234/2026 – Despedimento por Justa Causa – Uso Indevido de Email Corporativo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José Manuel da Silva, NIF 123 456 789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Empresa XYZ, Lda., NIF 508 123 456, sede em Rua das Flores, n.º 45, 1050‑100 Lisboa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António Ribeiro (OA 12345) – Escritório de Advocacia Ribeiro &amp; Associados; Dra. Sofia Carvalho (OA 67890) – Escritório de Advocacia Carvalho, Lda.</w:t>
      </w:r>
      <w:r>
        <w:br/>
      </w: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Santos, Juíza da Secção de Trabalho do Tribunal Judicial da Comarca de Lisboa</w:t>
      </w:r>
      <w:r>
        <w:br/>
      </w:r>
      <w:r>
        <w:rPr>
          <w:b/>
          <w:bCs/>
        </w:rPr>
        <w:t xml:space="preserve">Data de encerramento:</w:t>
      </w:r>
      <w:r>
        <w:t xml:space="preserve"> </w:t>
      </w:r>
      <w:r>
        <w:t xml:space="preserve">20 de fevereiro de 2026</w:t>
      </w:r>
    </w:p>
    <w:p>
      <w:r>
        <w:pict>
          <v:rect style="width:0;height:1.5pt" o:hralign="center" o:hrstd="t" o:hr="t"/>
        </w:pict>
      </w:r>
    </w:p>
    <w:bookmarkStart w:id="9" w:name="objetivo-da-nota"/>
    <w:p>
      <w:pPr>
        <w:pStyle w:val="Heading3"/>
      </w:pPr>
      <w:r>
        <w:t xml:space="preserve">1. Objetivo da Nota</w:t>
      </w:r>
    </w:p>
    <w:p>
      <w:pPr>
        <w:pStyle w:val="FirstParagraph"/>
      </w:pPr>
      <w:r>
        <w:t xml:space="preserve">A presente nota tem por finalidade</w:t>
      </w:r>
      <w:r>
        <w:t xml:space="preserve"> </w:t>
      </w:r>
      <w:r>
        <w:rPr>
          <w:b/>
          <w:bCs/>
        </w:rPr>
        <w:t xml:space="preserve">formalizar o encerramento definitivo</w:t>
      </w:r>
      <w:r>
        <w:t xml:space="preserve"> </w:t>
      </w:r>
      <w:r>
        <w:t xml:space="preserve">do processo acima referido, bem como</w:t>
      </w:r>
      <w:r>
        <w:t xml:space="preserve"> </w:t>
      </w:r>
      <w:r>
        <w:rPr>
          <w:b/>
          <w:bCs/>
        </w:rPr>
        <w:t xml:space="preserve">proceder à sua arquivação</w:t>
      </w:r>
      <w:r>
        <w:t xml:space="preserve"> </w:t>
      </w:r>
      <w:r>
        <w:t xml:space="preserve">nos registos internos do Departamento Jurídico da Empresa XYZ, Lda., em cumprimento das normas de conservação de documentos previstas no Código de Processo Civil (CPC) e no Código do Trabalho.</w:t>
      </w:r>
    </w:p>
    <w:p>
      <w:r>
        <w:pict>
          <v:rect style="width:0;height:1.5pt" o:hralign="center" o:hrstd="t" o:hr="t"/>
        </w:pict>
      </w:r>
    </w:p>
    <w:bookmarkEnd w:id="9"/>
    <w:bookmarkStart w:id="10" w:name="fundamentação-do-encerramento"/>
    <w:p>
      <w:pPr>
        <w:pStyle w:val="Heading3"/>
      </w:pPr>
      <w:r>
        <w:t xml:space="preserve">2. Fundamentação do Encerramento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Conclusão do processo</w:t>
      </w:r>
      <w:r>
        <w:t xml:space="preserve"> </w:t>
      </w:r>
      <w:r>
        <w:t xml:space="preserve">– O processo foi julgado em 15 de fevereiro de 2026, tendo a Juíza Dr.ª Maria de Lurdes Santos proferido a decisão que</w:t>
      </w:r>
      <w:r>
        <w:t xml:space="preserve"> </w:t>
      </w:r>
      <w:r>
        <w:rPr>
          <w:b/>
          <w:bCs/>
        </w:rPr>
        <w:t xml:space="preserve">rejeitou o pedido de declaração de nulidade do despedimento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confirmou a validade da justa causa alegada pela empresa</w:t>
      </w:r>
      <w:r>
        <w:t xml:space="preserve">, por violação do dever de lealdade e uso indevido do correio eletrónico corporativo.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Cumprimento das obrigações</w:t>
      </w:r>
      <w:r>
        <w:t xml:space="preserve"> </w:t>
      </w:r>
      <w:r>
        <w:t xml:space="preserve">– Ambas as partes cumpriram as determinações judiciais, tendo sido efetuado o pagamento da compensação legal ao trabalhador, bem como a entrega de toda a documentação requerida pelas partes e pelo tribunal.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Inexistência de recursos pendentes</w:t>
      </w:r>
      <w:r>
        <w:t xml:space="preserve"> </w:t>
      </w:r>
      <w:r>
        <w:t xml:space="preserve">– Não foi interposto recurso nem pedido de revisão, estando, assim,</w:t>
      </w:r>
      <w:r>
        <w:t xml:space="preserve"> </w:t>
      </w:r>
      <w:r>
        <w:rPr>
          <w:b/>
          <w:bCs/>
        </w:rPr>
        <w:t xml:space="preserve">exaurida a via jurisdicional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0"/>
    <w:bookmarkStart w:id="11" w:name="documentação-arquivada"/>
    <w:p>
      <w:pPr>
        <w:pStyle w:val="Heading3"/>
      </w:pPr>
      <w:r>
        <w:t xml:space="preserve">3. Documentação Arquivada</w:t>
      </w:r>
    </w:p>
    <w:p>
      <w:pPr>
        <w:pStyle w:val="FirstParagraph"/>
      </w:pPr>
      <w:r>
        <w:t xml:space="preserve">A seguir, apresenta‑se o inventário dos documentos que foram</w:t>
      </w:r>
      <w:r>
        <w:t xml:space="preserve"> </w:t>
      </w:r>
      <w:r>
        <w:rPr>
          <w:b/>
          <w:bCs/>
        </w:rPr>
        <w:t xml:space="preserve">integrados ao arquivo permanente</w:t>
      </w:r>
      <w:r>
        <w:t xml:space="preserve"> </w:t>
      </w:r>
      <w:r>
        <w:t xml:space="preserve">do caso, organizados por ordem cronológica e por categoria: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16"/>
        <w:gridCol w:w="3334"/>
        <w:gridCol w:w="833"/>
        <w:gridCol w:w="833"/>
        <w:gridCol w:w="250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do Documento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Tipo</w:t>
            </w:r>
          </w:p>
        </w:tc>
        <w:tc>
          <w:tcPr/>
          <w:p>
            <w:pPr>
              <w:pStyle w:val="Compact"/>
            </w:pPr>
            <w:r>
              <w:t xml:space="preserve">Local de Arquivo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Petição Inicial – José Manuel da Silva</w:t>
            </w:r>
          </w:p>
        </w:tc>
        <w:tc>
          <w:tcPr/>
          <w:p>
            <w:pPr>
              <w:pStyle w:val="Compact"/>
            </w:pPr>
            <w:r>
              <w:t xml:space="preserve">02 de outubro de 2025</w:t>
            </w:r>
          </w:p>
        </w:tc>
        <w:tc>
          <w:tcPr/>
          <w:p>
            <w:pPr>
              <w:pStyle w:val="Compact"/>
            </w:pPr>
            <w:r>
              <w:t xml:space="preserve">Petição</w:t>
            </w:r>
          </w:p>
        </w:tc>
        <w:tc>
          <w:tcPr/>
          <w:p>
            <w:pPr>
              <w:pStyle w:val="Compact"/>
            </w:pPr>
            <w:r>
              <w:t xml:space="preserve">Pasta “Processos – 2025/2026”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Contestação – Empresa XYZ, Lda.</w:t>
            </w:r>
          </w:p>
        </w:tc>
        <w:tc>
          <w:tcPr/>
          <w:p>
            <w:pPr>
              <w:pStyle w:val="Compact"/>
            </w:pPr>
            <w:r>
              <w:t xml:space="preserve">20 de outubro de 2025</w:t>
            </w:r>
          </w:p>
        </w:tc>
        <w:tc>
          <w:tcPr/>
          <w:p>
            <w:pPr>
              <w:pStyle w:val="Compact"/>
            </w:pPr>
            <w:r>
              <w:t xml:space="preserve">Contestação</w:t>
            </w:r>
          </w:p>
        </w:tc>
        <w:tc>
          <w:tcPr/>
          <w:p>
            <w:pPr>
              <w:pStyle w:val="Compact"/>
            </w:pPr>
            <w:r>
              <w:t xml:space="preserve">Pasta “Processos – 2025/2026”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Prova documental – Cópia de e‑mails (excertos)</w:t>
            </w:r>
          </w:p>
        </w:tc>
        <w:tc>
          <w:tcPr/>
          <w:p>
            <w:pPr>
              <w:pStyle w:val="Compact"/>
            </w:pPr>
            <w:r>
              <w:t xml:space="preserve">05 de novembro de 2025</w:t>
            </w:r>
          </w:p>
        </w:tc>
        <w:tc>
          <w:tcPr/>
          <w:p>
            <w:pPr>
              <w:pStyle w:val="Compact"/>
            </w:pPr>
            <w:r>
              <w:t xml:space="preserve">Prova</w:t>
            </w:r>
          </w:p>
        </w:tc>
        <w:tc>
          <w:tcPr/>
          <w:p>
            <w:pPr>
              <w:pStyle w:val="Compact"/>
            </w:pPr>
            <w:r>
              <w:t xml:space="preserve">Pasta “Provas – Email”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Audiência de Instrução – Ata</w:t>
            </w:r>
          </w:p>
        </w:tc>
        <w:tc>
          <w:tcPr/>
          <w:p>
            <w:pPr>
              <w:pStyle w:val="Compact"/>
            </w:pPr>
            <w:r>
              <w:t xml:space="preserve">12 de dezembro de 2025</w:t>
            </w:r>
          </w:p>
        </w:tc>
        <w:tc>
          <w:tcPr/>
          <w:p>
            <w:pPr>
              <w:pStyle w:val="Compact"/>
            </w:pPr>
            <w:r>
              <w:t xml:space="preserve">Ata</w:t>
            </w:r>
          </w:p>
        </w:tc>
        <w:tc>
          <w:tcPr/>
          <w:p>
            <w:pPr>
              <w:pStyle w:val="Compact"/>
            </w:pPr>
            <w:r>
              <w:t xml:space="preserve">Pasta “Audiências – 2025”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Sentença – Juíza Dr.ª Maria de Lurdes Santos</w:t>
            </w:r>
          </w:p>
        </w:tc>
        <w:tc>
          <w:tcPr/>
          <w:p>
            <w:pPr>
              <w:pStyle w:val="Compact"/>
            </w:pPr>
            <w:r>
              <w:t xml:space="preserve">15 de fevereiro de 2026</w:t>
            </w:r>
          </w:p>
        </w:tc>
        <w:tc>
          <w:tcPr/>
          <w:p>
            <w:pPr>
              <w:pStyle w:val="Compact"/>
            </w:pPr>
            <w:r>
              <w:t xml:space="preserve">Sentença</w:t>
            </w:r>
          </w:p>
        </w:tc>
        <w:tc>
          <w:tcPr/>
          <w:p>
            <w:pPr>
              <w:pStyle w:val="Compact"/>
            </w:pPr>
            <w:r>
              <w:t xml:space="preserve">Pasta “Sentenças – 2026”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Cumprimento de Sentença – Recibo de Pagamento ao Reclamante</w:t>
            </w:r>
          </w:p>
        </w:tc>
        <w:tc>
          <w:tcPr/>
          <w:p>
            <w:pPr>
              <w:pStyle w:val="Compact"/>
            </w:pPr>
            <w:r>
              <w:t xml:space="preserve">01 de março de 2026</w:t>
            </w:r>
          </w:p>
        </w:tc>
        <w:tc>
          <w:tcPr/>
          <w:p>
            <w:pPr>
              <w:pStyle w:val="Compact"/>
            </w:pPr>
            <w:r>
              <w:t xml:space="preserve">Recibo</w:t>
            </w:r>
          </w:p>
        </w:tc>
        <w:tc>
          <w:tcPr/>
          <w:p>
            <w:pPr>
              <w:pStyle w:val="Compact"/>
            </w:pPr>
            <w:r>
              <w:t xml:space="preserve">Pasta “Cumprimento – 2026”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Comunicação Interna – Notificação de Despedimento ao Sr. José Manuel da Silva</w:t>
            </w:r>
          </w:p>
        </w:tc>
        <w:tc>
          <w:tcPr/>
          <w:p>
            <w:pPr>
              <w:pStyle w:val="Compact"/>
            </w:pPr>
            <w:r>
              <w:t xml:space="preserve">10 de setembro de 2025</w:t>
            </w:r>
          </w:p>
        </w:tc>
        <w:tc>
          <w:tcPr/>
          <w:p>
            <w:pPr>
              <w:pStyle w:val="Compact"/>
            </w:pPr>
            <w:r>
              <w:t xml:space="preserve">Notificação</w:t>
            </w:r>
          </w:p>
        </w:tc>
        <w:tc>
          <w:tcPr/>
          <w:p>
            <w:pPr>
              <w:pStyle w:val="Compact"/>
            </w:pPr>
            <w:r>
              <w:t xml:space="preserve">Pasta “Comunicações Internas”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Relatório de Conformidade – Política de Utilização de Email Corporativo</w:t>
            </w:r>
          </w:p>
        </w:tc>
        <w:tc>
          <w:tcPr/>
          <w:p>
            <w:pPr>
              <w:pStyle w:val="Compact"/>
            </w:pPr>
            <w:r>
              <w:t xml:space="preserve">15 de julho de 2024</w:t>
            </w:r>
          </w:p>
        </w:tc>
        <w:tc>
          <w:tcPr/>
          <w:p>
            <w:pPr>
              <w:pStyle w:val="Compact"/>
            </w:pPr>
            <w:r>
              <w:t xml:space="preserve">Relatório</w:t>
            </w:r>
          </w:p>
        </w:tc>
        <w:tc>
          <w:tcPr/>
          <w:p>
            <w:pPr>
              <w:pStyle w:val="Compact"/>
            </w:pPr>
            <w:r>
              <w:t xml:space="preserve">Pasta “Políticas Internas”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Correspondência – Troca de e‑mails entre as partes (advogados)</w:t>
            </w:r>
          </w:p>
        </w:tc>
        <w:tc>
          <w:tcPr/>
          <w:p>
            <w:pPr>
              <w:pStyle w:val="Compact"/>
            </w:pPr>
            <w:r>
              <w:t xml:space="preserve">18 de novembro de 2025 a 03 de fevereiro de 2026</w:t>
            </w:r>
          </w:p>
        </w:tc>
        <w:tc>
          <w:tcPr/>
          <w:p>
            <w:pPr>
              <w:pStyle w:val="Compact"/>
            </w:pPr>
            <w:r>
              <w:t xml:space="preserve">Correspondência</w:t>
            </w:r>
          </w:p>
        </w:tc>
        <w:tc>
          <w:tcPr/>
          <w:p>
            <w:pPr>
              <w:pStyle w:val="Compact"/>
            </w:pPr>
            <w:r>
              <w:t xml:space="preserve">Pasta “Correspondência”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Nota Interna – Encerramento do Caso (presente)</w:t>
            </w:r>
          </w:p>
        </w:tc>
        <w:tc>
          <w:tcPr/>
          <w:p>
            <w:pPr>
              <w:pStyle w:val="Compact"/>
            </w:pPr>
            <w:r>
              <w:t xml:space="preserve">20 de fevereiro de 2026</w:t>
            </w:r>
          </w:p>
        </w:tc>
        <w:tc>
          <w:tcPr/>
          <w:p>
            <w:pPr>
              <w:pStyle w:val="Compact"/>
            </w:pPr>
            <w:r>
              <w:t xml:space="preserve">Nota Interna</w:t>
            </w:r>
          </w:p>
        </w:tc>
        <w:tc>
          <w:tcPr/>
          <w:p>
            <w:pPr>
              <w:pStyle w:val="Compact"/>
            </w:pPr>
            <w:r>
              <w:t xml:space="preserve">Pasta “Arquivos – Notas Internas”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procedimentos-de-arquivamento"/>
    <w:p>
      <w:pPr>
        <w:pStyle w:val="Heading3"/>
      </w:pPr>
      <w:r>
        <w:t xml:space="preserve">4. Procedimentos de Arquivamento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Digitalização</w:t>
      </w:r>
      <w:r>
        <w:t xml:space="preserve"> </w:t>
      </w:r>
      <w:r>
        <w:t xml:space="preserve">– Todos os documentos listados foram digitalizados em formato PDF/A, com assinatura eletrónica da respetiva origem, e armazenados no</w:t>
      </w:r>
      <w:r>
        <w:t xml:space="preserve"> </w:t>
      </w:r>
      <w:r>
        <w:rPr>
          <w:b/>
          <w:bCs/>
        </w:rPr>
        <w:t xml:space="preserve">sistema de gestão documental (SGD) da empresa</w:t>
      </w:r>
      <w:r>
        <w:t xml:space="preserve">, sob a referência</w:t>
      </w:r>
      <w:r>
        <w:t xml:space="preserve"> </w:t>
      </w:r>
      <w:r>
        <w:rPr>
          <w:b/>
          <w:bCs/>
        </w:rPr>
        <w:t xml:space="preserve">XYZ‑JUR‑2026‑1234</w:t>
      </w:r>
      <w:r>
        <w:t xml:space="preserve">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Cópia física</w:t>
      </w:r>
      <w:r>
        <w:t xml:space="preserve"> </w:t>
      </w:r>
      <w:r>
        <w:t xml:space="preserve">– Foi preservada uma cópia física de cada documento, organizada em pastas de arquivo permanente, armazenadas no</w:t>
      </w:r>
      <w:r>
        <w:t xml:space="preserve"> </w:t>
      </w:r>
      <w:r>
        <w:rPr>
          <w:b/>
          <w:bCs/>
        </w:rPr>
        <w:t xml:space="preserve">Arquivo Central da Empresa XYZ, Lda., Sede – Lisboa</w:t>
      </w:r>
      <w:r>
        <w:t xml:space="preserve">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Prazo de conservação</w:t>
      </w:r>
      <w:r>
        <w:t xml:space="preserve"> </w:t>
      </w:r>
      <w:r>
        <w:t xml:space="preserve">– De acordo com o artigo 62.º do CPC e o artigo 84.º do Código do Trabalho, os documentos referentes a processos laborais serão conservados por</w:t>
      </w:r>
      <w:r>
        <w:t xml:space="preserve"> </w:t>
      </w:r>
      <w:r>
        <w:rPr>
          <w:b/>
          <w:bCs/>
        </w:rPr>
        <w:t xml:space="preserve">10 (dez) anos</w:t>
      </w:r>
      <w:r>
        <w:t xml:space="preserve"> </w:t>
      </w:r>
      <w:r>
        <w:t xml:space="preserve">a contar da data de arquivamento, devendo ser destruídos, mediante certificação de eliminação, ao final desse período, salvo disposição em contrário.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Acesso</w:t>
      </w:r>
      <w:r>
        <w:t xml:space="preserve"> </w:t>
      </w:r>
      <w:r>
        <w:t xml:space="preserve">– O acesso ao conteúdo arquivado fica limitado ao</w:t>
      </w:r>
      <w:r>
        <w:t xml:space="preserve"> </w:t>
      </w:r>
      <w:r>
        <w:rPr>
          <w:b/>
          <w:bCs/>
        </w:rPr>
        <w:t xml:space="preserve">Departamento Jurídico</w:t>
      </w:r>
      <w:r>
        <w:t xml:space="preserve">, ao</w:t>
      </w:r>
      <w:r>
        <w:t xml:space="preserve"> </w:t>
      </w:r>
      <w:r>
        <w:rPr>
          <w:b/>
          <w:bCs/>
        </w:rPr>
        <w:t xml:space="preserve">Diretor de Recursos Humanos</w:t>
      </w:r>
      <w:r>
        <w:t xml:space="preserve"> </w:t>
      </w:r>
      <w:r>
        <w:t xml:space="preserve">e ao</w:t>
      </w:r>
      <w:r>
        <w:t xml:space="preserve"> </w:t>
      </w:r>
      <w:r>
        <w:rPr>
          <w:b/>
          <w:bCs/>
        </w:rPr>
        <w:t xml:space="preserve">Comité de Auditoria Interna</w:t>
      </w:r>
      <w:r>
        <w:t xml:space="preserve">, mediante solicitação escrita e registro no SGD.</w:t>
      </w:r>
    </w:p>
    <w:p>
      <w:r>
        <w:pict>
          <v:rect style="width:0;height:1.5pt" o:hralign="center" o:hrstd="t" o:hr="t"/>
        </w:pict>
      </w:r>
    </w:p>
    <w:bookmarkEnd w:id="12"/>
    <w:bookmarkStart w:id="13" w:name="responsável-pelo-encerramento"/>
    <w:p>
      <w:pPr>
        <w:pStyle w:val="Heading3"/>
      </w:pPr>
      <w:r>
        <w:t xml:space="preserve">5. Responsável pelo Encerramento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2217"/>
        <w:gridCol w:w="380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</w:t>
            </w:r>
          </w:p>
        </w:tc>
        <w:tc>
          <w:tcPr/>
          <w:p>
            <w:pPr>
              <w:pStyle w:val="Compact"/>
            </w:pPr>
            <w:r>
              <w:t xml:space="preserve">Cargo</w:t>
            </w:r>
          </w:p>
        </w:tc>
        <w:tc>
          <w:tcPr/>
          <w:p>
            <w:pPr>
              <w:pStyle w:val="Compact"/>
            </w:pPr>
            <w:r>
              <w:t xml:space="preserve">Assinatura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Advogado – OA 12345 – Escritório Ribeiro &amp; Associados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Advogada – OA 67890 – Escritório Carvalho, Lda.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Carlos Mendes</w:t>
            </w:r>
          </w:p>
        </w:tc>
        <w:tc>
          <w:tcPr/>
          <w:p>
            <w:pPr>
              <w:pStyle w:val="Compact"/>
            </w:pPr>
            <w:r>
              <w:t xml:space="preserve">Diretor Jurídico – Empresa XYZ, Lda.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Maria Lopes</w:t>
            </w:r>
          </w:p>
        </w:tc>
        <w:tc>
          <w:tcPr/>
          <w:p>
            <w:pPr>
              <w:pStyle w:val="Compact"/>
            </w:pPr>
            <w:r>
              <w:t xml:space="preserve">Chefe de Arquivo – Departamento Jurídico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conclusão"/>
    <w:p>
      <w:pPr>
        <w:pStyle w:val="Heading3"/>
      </w:pPr>
      <w:r>
        <w:t xml:space="preserve">6. Conclusão</w:t>
      </w:r>
    </w:p>
    <w:p>
      <w:pPr>
        <w:pStyle w:val="FirstParagraph"/>
      </w:pPr>
      <w:r>
        <w:t xml:space="preserve">Considerando a</w:t>
      </w:r>
      <w:r>
        <w:t xml:space="preserve"> </w:t>
      </w:r>
      <w:r>
        <w:rPr>
          <w:b/>
          <w:bCs/>
        </w:rPr>
        <w:t xml:space="preserve">definitiva conclusão</w:t>
      </w:r>
      <w:r>
        <w:t xml:space="preserve"> </w:t>
      </w:r>
      <w:r>
        <w:t xml:space="preserve">do processo, a</w:t>
      </w:r>
      <w:r>
        <w:t xml:space="preserve"> </w:t>
      </w:r>
      <w:r>
        <w:rPr>
          <w:b/>
          <w:bCs/>
        </w:rPr>
        <w:t xml:space="preserve">conformidade com as determinações judiciais</w:t>
      </w:r>
      <w:r>
        <w:t xml:space="preserve"> </w:t>
      </w:r>
      <w:r>
        <w:t xml:space="preserve">e a</w:t>
      </w:r>
      <w:r>
        <w:t xml:space="preserve"> </w:t>
      </w:r>
      <w:r>
        <w:rPr>
          <w:b/>
          <w:bCs/>
        </w:rPr>
        <w:t xml:space="preserve">regularidade dos procedimentos de arquivamento</w:t>
      </w:r>
      <w:r>
        <w:t xml:space="preserve">, declara‑se encerrado o caso</w:t>
      </w:r>
      <w:r>
        <w:t xml:space="preserve"> </w:t>
      </w:r>
      <w:r>
        <w:rPr>
          <w:b/>
          <w:bCs/>
        </w:rPr>
        <w:t xml:space="preserve">1234/2026</w:t>
      </w:r>
      <w:r>
        <w:t xml:space="preserve">, ficando a documentação pertinente</w:t>
      </w:r>
      <w:r>
        <w:t xml:space="preserve"> </w:t>
      </w:r>
      <w:r>
        <w:rPr>
          <w:b/>
          <w:bCs/>
        </w:rPr>
        <w:t xml:space="preserve">integrada ao arquivo permanente</w:t>
      </w:r>
      <w:r>
        <w:t xml:space="preserve"> </w:t>
      </w:r>
      <w:r>
        <w:t xml:space="preserve">da Empresa XYZ, Lda., para eventuais consultas futuras ou auditorias.</w:t>
      </w:r>
    </w:p>
    <w:p>
      <w:pPr>
        <w:pStyle w:val="BlockText"/>
      </w:pPr>
      <w:r>
        <w:rPr>
          <w:b/>
          <w:bCs/>
        </w:rPr>
        <w:t xml:space="preserve">Nota:</w:t>
      </w:r>
      <w:r>
        <w:t xml:space="preserve"> </w:t>
      </w:r>
      <w:r>
        <w:t xml:space="preserve">Esta nota interna será distribuída, em cópia digital, a todos os departamentos implicados e será inserida no registo de controlo interno da empresa, ficando, assim, formalizada a sua validade e eficácia.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gerado eletronicamente em 20 de fevereiro de 2026, em conformidade com as normas de redação jurídica aplicáveis em Portugal.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